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3DD4" w14:textId="726969DF" w:rsidR="00D358DF" w:rsidRDefault="00BA3685" w:rsidP="001B7A46">
      <w:pPr>
        <w:pStyle w:val="NormalWeb"/>
        <w:spacing w:before="0" w:beforeAutospacing="0" w:after="0" w:afterAutospacing="0"/>
        <w:jc w:val="center"/>
        <w:rPr>
          <w:rFonts w:ascii="Arial" w:hAnsi="Arial" w:cs="Arial"/>
          <w:b/>
          <w:bCs/>
          <w:color w:val="000000"/>
        </w:rPr>
      </w:pPr>
      <w:r>
        <w:rPr>
          <w:rFonts w:ascii="Arial" w:hAnsi="Arial" w:cs="Arial"/>
          <w:b/>
          <w:bCs/>
          <w:color w:val="000000"/>
        </w:rPr>
        <w:t>STAND BY LETTER OF CREDIT</w:t>
      </w:r>
      <w:r w:rsidR="00FA49A3" w:rsidRPr="00516A75">
        <w:rPr>
          <w:rFonts w:ascii="Arial" w:hAnsi="Arial" w:cs="Arial"/>
          <w:b/>
          <w:bCs/>
          <w:color w:val="000000"/>
        </w:rPr>
        <w:t xml:space="preserve"> </w:t>
      </w:r>
      <w:r w:rsidR="003040BC">
        <w:rPr>
          <w:rFonts w:ascii="Arial" w:hAnsi="Arial" w:cs="Arial"/>
          <w:b/>
          <w:bCs/>
          <w:color w:val="000000"/>
        </w:rPr>
        <w:t>- SBLC</w:t>
      </w:r>
    </w:p>
    <w:p w14:paraId="077A8784" w14:textId="662AEC9E" w:rsidR="00FA49A3" w:rsidRDefault="00FA49A3" w:rsidP="001B7A46">
      <w:pPr>
        <w:pStyle w:val="NormalWeb"/>
        <w:spacing w:before="0" w:beforeAutospacing="0" w:after="0" w:afterAutospacing="0"/>
        <w:jc w:val="center"/>
        <w:rPr>
          <w:rFonts w:ascii="Arial" w:hAnsi="Arial" w:cs="Arial"/>
          <w:b/>
          <w:bCs/>
          <w:color w:val="000000"/>
        </w:rPr>
      </w:pPr>
      <w:r w:rsidRPr="00516A75">
        <w:rPr>
          <w:rFonts w:ascii="Arial" w:hAnsi="Arial" w:cs="Arial"/>
          <w:b/>
          <w:bCs/>
          <w:color w:val="000000"/>
        </w:rPr>
        <w:t>N</w:t>
      </w:r>
      <w:r w:rsidR="00BA3685">
        <w:rPr>
          <w:rFonts w:ascii="Arial" w:hAnsi="Arial" w:cs="Arial"/>
          <w:b/>
          <w:bCs/>
          <w:color w:val="000000"/>
        </w:rPr>
        <w:t>UMBER</w:t>
      </w:r>
      <w:r w:rsidRPr="00516A75">
        <w:rPr>
          <w:rFonts w:ascii="Arial" w:hAnsi="Arial" w:cs="Arial"/>
          <w:b/>
          <w:bCs/>
          <w:color w:val="000000"/>
        </w:rPr>
        <w:t xml:space="preserve"> </w:t>
      </w:r>
      <w:r w:rsidRPr="00516A75">
        <w:rPr>
          <w:rFonts w:ascii="Arial" w:hAnsi="Arial" w:cs="Arial"/>
          <w:b/>
          <w:bCs/>
          <w:color w:val="000000"/>
          <w:highlight w:val="lightGray"/>
        </w:rPr>
        <w:t>[XXXXX]</w:t>
      </w:r>
    </w:p>
    <w:p w14:paraId="7593C643" w14:textId="77777777" w:rsidR="001B7A46" w:rsidRDefault="001B7A46" w:rsidP="001B7A46">
      <w:pPr>
        <w:pStyle w:val="NormalWeb"/>
        <w:spacing w:before="0" w:beforeAutospacing="0" w:after="0" w:afterAutospacing="0"/>
        <w:jc w:val="center"/>
        <w:rPr>
          <w:rFonts w:ascii="Arial" w:hAnsi="Arial" w:cs="Arial"/>
          <w:b/>
          <w:bCs/>
          <w:color w:val="000000"/>
        </w:rPr>
      </w:pPr>
    </w:p>
    <w:p w14:paraId="517123E8" w14:textId="70E0CDB0" w:rsidR="00BA3685" w:rsidRDefault="00BA3685" w:rsidP="001B7A46">
      <w:pPr>
        <w:pStyle w:val="NormalWeb"/>
        <w:spacing w:before="0" w:beforeAutospacing="0" w:after="0" w:afterAutospacing="0"/>
        <w:jc w:val="center"/>
        <w:rPr>
          <w:rFonts w:ascii="Arial" w:hAnsi="Arial" w:cs="Arial"/>
          <w:b/>
          <w:bCs/>
          <w:color w:val="000000"/>
        </w:rPr>
      </w:pPr>
      <w:r>
        <w:rPr>
          <w:rFonts w:ascii="Arial" w:hAnsi="Arial" w:cs="Arial"/>
          <w:b/>
          <w:bCs/>
          <w:color w:val="000000"/>
        </w:rPr>
        <w:t>Standby Letter of Credit to cover the</w:t>
      </w:r>
      <w:r w:rsidRPr="00BA3685">
        <w:rPr>
          <w:rFonts w:ascii="Arial" w:hAnsi="Arial" w:cs="Arial"/>
          <w:b/>
          <w:bCs/>
          <w:color w:val="000000"/>
        </w:rPr>
        <w:t xml:space="preserve"> compliance with the obligations of Chapter V of the Annex - Regulation of Guarantees of the Reliability Charge - of Resolution </w:t>
      </w:r>
      <w:r>
        <w:rPr>
          <w:rFonts w:ascii="Arial" w:hAnsi="Arial" w:cs="Arial"/>
          <w:b/>
          <w:bCs/>
          <w:color w:val="000000"/>
        </w:rPr>
        <w:t xml:space="preserve">CREG </w:t>
      </w:r>
      <w:r w:rsidRPr="00BA3685">
        <w:rPr>
          <w:rFonts w:ascii="Arial" w:hAnsi="Arial" w:cs="Arial"/>
          <w:b/>
          <w:bCs/>
          <w:color w:val="000000"/>
        </w:rPr>
        <w:t>061 of 2007 and those</w:t>
      </w:r>
      <w:r w:rsidR="001B7A46">
        <w:rPr>
          <w:rFonts w:ascii="Arial" w:hAnsi="Arial" w:cs="Arial"/>
          <w:b/>
          <w:bCs/>
          <w:color w:val="000000"/>
        </w:rPr>
        <w:t xml:space="preserve"> resolutions</w:t>
      </w:r>
      <w:r w:rsidRPr="00BA3685">
        <w:rPr>
          <w:rFonts w:ascii="Arial" w:hAnsi="Arial" w:cs="Arial"/>
          <w:b/>
          <w:bCs/>
          <w:color w:val="000000"/>
        </w:rPr>
        <w:t xml:space="preserve"> that </w:t>
      </w:r>
      <w:r w:rsidR="001B7A46">
        <w:rPr>
          <w:rFonts w:ascii="Arial" w:hAnsi="Arial" w:cs="Arial"/>
          <w:b/>
          <w:bCs/>
          <w:color w:val="000000"/>
        </w:rPr>
        <w:t xml:space="preserve">may </w:t>
      </w:r>
      <w:r w:rsidRPr="00BA3685">
        <w:rPr>
          <w:rFonts w:ascii="Arial" w:hAnsi="Arial" w:cs="Arial"/>
          <w:b/>
          <w:bCs/>
          <w:color w:val="000000"/>
        </w:rPr>
        <w:t>add</w:t>
      </w:r>
      <w:r>
        <w:rPr>
          <w:rFonts w:ascii="Arial" w:hAnsi="Arial" w:cs="Arial"/>
          <w:b/>
          <w:bCs/>
          <w:color w:val="000000"/>
        </w:rPr>
        <w:t xml:space="preserve">, modify or substitute </w:t>
      </w:r>
      <w:r w:rsidR="001B7A46">
        <w:rPr>
          <w:rFonts w:ascii="Arial" w:hAnsi="Arial" w:cs="Arial"/>
          <w:b/>
          <w:bCs/>
          <w:color w:val="000000"/>
        </w:rPr>
        <w:t>it</w:t>
      </w:r>
      <w:r w:rsidRPr="00BA3685">
        <w:rPr>
          <w:rFonts w:ascii="Arial" w:hAnsi="Arial" w:cs="Arial"/>
          <w:b/>
          <w:bCs/>
          <w:color w:val="000000"/>
        </w:rPr>
        <w:t>.</w:t>
      </w:r>
    </w:p>
    <w:p w14:paraId="51EB4F50" w14:textId="77777777" w:rsidR="001B7A46" w:rsidRPr="00BA3685" w:rsidRDefault="001B7A46" w:rsidP="001B7A46">
      <w:pPr>
        <w:pStyle w:val="NormalWeb"/>
        <w:spacing w:before="0" w:beforeAutospacing="0" w:after="0" w:afterAutospacing="0"/>
        <w:jc w:val="center"/>
        <w:rPr>
          <w:rFonts w:ascii="Arial" w:hAnsi="Arial" w:cs="Arial"/>
          <w:b/>
          <w:bCs/>
          <w:color w:val="000000"/>
        </w:rPr>
      </w:pPr>
    </w:p>
    <w:p w14:paraId="25D8D144" w14:textId="2539B09A" w:rsid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PLANT OR GENERATION UNIT: </w:t>
      </w:r>
      <w:r w:rsidRPr="00BA3685">
        <w:rPr>
          <w:rFonts w:ascii="Arial" w:hAnsi="Arial" w:cs="Arial"/>
          <w:color w:val="000000"/>
        </w:rPr>
        <w:t>(include the full name of the project, plant and/or generation unit)</w:t>
      </w:r>
      <w:r w:rsidR="003040BC">
        <w:rPr>
          <w:rFonts w:ascii="Arial" w:hAnsi="Arial" w:cs="Arial"/>
          <w:color w:val="000000"/>
        </w:rPr>
        <w:t xml:space="preserve"> </w:t>
      </w:r>
      <w:r w:rsidRPr="00BA3685">
        <w:rPr>
          <w:rFonts w:ascii="Arial" w:hAnsi="Arial" w:cs="Arial"/>
          <w:b/>
          <w:bCs/>
          <w:color w:val="000000"/>
        </w:rPr>
        <w:t>[Name]</w:t>
      </w:r>
    </w:p>
    <w:p w14:paraId="217CF887" w14:textId="77777777" w:rsidR="001B7A46" w:rsidRPr="003040BC" w:rsidRDefault="001B7A46" w:rsidP="001B7A46">
      <w:pPr>
        <w:pStyle w:val="NormalWeb"/>
        <w:spacing w:before="0" w:beforeAutospacing="0" w:after="0" w:afterAutospacing="0"/>
        <w:jc w:val="both"/>
        <w:rPr>
          <w:rFonts w:ascii="Arial" w:hAnsi="Arial" w:cs="Arial"/>
          <w:color w:val="000000"/>
        </w:rPr>
      </w:pPr>
    </w:p>
    <w:p w14:paraId="15C7A9B5" w14:textId="3714284D" w:rsidR="00BA3685" w:rsidRDefault="001B7A46" w:rsidP="001B7A46">
      <w:pPr>
        <w:pStyle w:val="NormalWeb"/>
        <w:spacing w:before="0" w:beforeAutospacing="0" w:after="0" w:afterAutospacing="0"/>
        <w:jc w:val="both"/>
        <w:rPr>
          <w:rFonts w:ascii="Arial" w:hAnsi="Arial" w:cs="Arial"/>
          <w:color w:val="000000"/>
        </w:rPr>
      </w:pPr>
      <w:r>
        <w:rPr>
          <w:rFonts w:ascii="Arial" w:hAnsi="Arial" w:cs="Arial"/>
          <w:b/>
          <w:bCs/>
          <w:color w:val="000000"/>
        </w:rPr>
        <w:t>ISSUING DATE</w:t>
      </w:r>
      <w:r w:rsidR="00BA3685" w:rsidRPr="001B7A46">
        <w:rPr>
          <w:rFonts w:ascii="Arial" w:hAnsi="Arial" w:cs="Arial"/>
          <w:b/>
          <w:bCs/>
          <w:color w:val="000000"/>
        </w:rPr>
        <w:t>:</w:t>
      </w:r>
      <w:r w:rsidR="003040BC" w:rsidRPr="001B7A46">
        <w:rPr>
          <w:rFonts w:ascii="Arial" w:hAnsi="Arial" w:cs="Arial"/>
          <w:b/>
          <w:bCs/>
          <w:color w:val="000000"/>
        </w:rPr>
        <w:t xml:space="preserve"> </w:t>
      </w:r>
      <w:r w:rsidR="00BA3685" w:rsidRPr="001B7A46">
        <w:rPr>
          <w:rFonts w:ascii="Arial" w:hAnsi="Arial" w:cs="Arial"/>
          <w:b/>
          <w:bCs/>
          <w:color w:val="000000"/>
        </w:rPr>
        <w:t>[</w:t>
      </w:r>
      <w:r w:rsidR="003040BC" w:rsidRPr="001B7A46">
        <w:rPr>
          <w:rFonts w:ascii="Arial" w:hAnsi="Arial" w:cs="Arial"/>
          <w:b/>
          <w:bCs/>
          <w:color w:val="000000"/>
        </w:rPr>
        <w:t>D</w:t>
      </w:r>
      <w:r w:rsidR="00BA3685" w:rsidRPr="001B7A46">
        <w:rPr>
          <w:rFonts w:ascii="Arial" w:hAnsi="Arial" w:cs="Arial"/>
          <w:b/>
          <w:bCs/>
          <w:color w:val="000000"/>
        </w:rPr>
        <w:t xml:space="preserve">ay </w:t>
      </w:r>
      <w:r w:rsidR="003040BC" w:rsidRPr="001B7A46">
        <w:rPr>
          <w:rFonts w:ascii="Arial" w:hAnsi="Arial" w:cs="Arial"/>
          <w:b/>
          <w:bCs/>
          <w:color w:val="000000"/>
        </w:rPr>
        <w:t>M</w:t>
      </w:r>
      <w:r w:rsidR="00BA3685" w:rsidRPr="001B7A46">
        <w:rPr>
          <w:rFonts w:ascii="Arial" w:hAnsi="Arial" w:cs="Arial"/>
          <w:b/>
          <w:bCs/>
          <w:color w:val="000000"/>
        </w:rPr>
        <w:t>onth Year]</w:t>
      </w:r>
    </w:p>
    <w:p w14:paraId="7387611C" w14:textId="77777777" w:rsidR="001B7A46" w:rsidRPr="00BA3685" w:rsidRDefault="001B7A46" w:rsidP="001B7A46">
      <w:pPr>
        <w:pStyle w:val="NormalWeb"/>
        <w:spacing w:before="0" w:beforeAutospacing="0" w:after="0" w:afterAutospacing="0"/>
        <w:jc w:val="both"/>
        <w:rPr>
          <w:rFonts w:ascii="Arial" w:hAnsi="Arial" w:cs="Arial"/>
          <w:b/>
          <w:bCs/>
          <w:color w:val="000000"/>
        </w:rPr>
      </w:pPr>
    </w:p>
    <w:p w14:paraId="27C63B3B" w14:textId="1226B9B2" w:rsidR="00BA3685" w:rsidRPr="00BA3685" w:rsidRDefault="001B7A46" w:rsidP="001B7A46">
      <w:pPr>
        <w:pStyle w:val="NormalWeb"/>
        <w:spacing w:before="0" w:beforeAutospacing="0" w:after="0" w:afterAutospacing="0"/>
        <w:jc w:val="both"/>
        <w:rPr>
          <w:rFonts w:ascii="Arial" w:hAnsi="Arial" w:cs="Arial"/>
          <w:b/>
          <w:bCs/>
          <w:color w:val="000000"/>
        </w:rPr>
      </w:pPr>
      <w:r>
        <w:rPr>
          <w:rFonts w:ascii="Arial" w:hAnsi="Arial" w:cs="Arial"/>
          <w:b/>
          <w:bCs/>
          <w:color w:val="000000"/>
        </w:rPr>
        <w:t>EXPIRATION DATE</w:t>
      </w:r>
      <w:r w:rsidR="00BA3685" w:rsidRPr="001B7A46">
        <w:rPr>
          <w:rFonts w:ascii="Arial" w:hAnsi="Arial" w:cs="Arial"/>
          <w:b/>
          <w:bCs/>
          <w:color w:val="000000"/>
        </w:rPr>
        <w:t xml:space="preserve">: </w:t>
      </w:r>
      <w:r w:rsidRPr="001B7A46">
        <w:rPr>
          <w:rFonts w:ascii="Arial" w:hAnsi="Arial" w:cs="Arial"/>
          <w:b/>
          <w:bCs/>
          <w:color w:val="000000"/>
        </w:rPr>
        <w:t>[Day Month Year]</w:t>
      </w:r>
    </w:p>
    <w:p w14:paraId="0307FA90" w14:textId="77777777" w:rsidR="001B7A46" w:rsidRPr="00BA3685" w:rsidRDefault="001B7A46" w:rsidP="001B7A46">
      <w:pPr>
        <w:pStyle w:val="NormalWeb"/>
        <w:spacing w:before="0" w:beforeAutospacing="0" w:after="0" w:afterAutospacing="0"/>
        <w:ind w:firstLine="708"/>
        <w:jc w:val="both"/>
        <w:rPr>
          <w:rFonts w:ascii="Arial" w:hAnsi="Arial" w:cs="Arial"/>
          <w:b/>
          <w:bCs/>
          <w:color w:val="000000"/>
        </w:rPr>
      </w:pPr>
    </w:p>
    <w:p w14:paraId="0FCC7A80" w14:textId="5F9D040B" w:rsidR="00BA3685" w:rsidRDefault="00BA3685" w:rsidP="001B7A46">
      <w:pPr>
        <w:pStyle w:val="NormalWeb"/>
        <w:spacing w:before="0" w:beforeAutospacing="0" w:after="0" w:afterAutospacing="0"/>
        <w:jc w:val="both"/>
        <w:rPr>
          <w:rFonts w:ascii="Arial" w:hAnsi="Arial" w:cs="Arial"/>
          <w:color w:val="000000"/>
        </w:rPr>
      </w:pPr>
      <w:r w:rsidRPr="00BA3685">
        <w:rPr>
          <w:rFonts w:ascii="Arial" w:hAnsi="Arial" w:cs="Arial"/>
          <w:b/>
          <w:bCs/>
          <w:color w:val="000000"/>
        </w:rPr>
        <w:t xml:space="preserve">VALUE: </w:t>
      </w:r>
      <w:r w:rsidRPr="003040BC">
        <w:rPr>
          <w:rFonts w:ascii="Arial" w:hAnsi="Arial" w:cs="Arial"/>
          <w:color w:val="000000"/>
        </w:rPr>
        <w:t xml:space="preserve">(Include the value of the </w:t>
      </w:r>
      <w:r w:rsidR="003040BC" w:rsidRPr="003040BC">
        <w:rPr>
          <w:rFonts w:ascii="Arial" w:hAnsi="Arial" w:cs="Arial"/>
          <w:color w:val="000000"/>
        </w:rPr>
        <w:t>SBLC</w:t>
      </w:r>
      <w:r w:rsidRPr="003040BC">
        <w:rPr>
          <w:rFonts w:ascii="Arial" w:hAnsi="Arial" w:cs="Arial"/>
          <w:color w:val="000000"/>
        </w:rPr>
        <w:t xml:space="preserve"> in United States dollars, in letters and numbers)</w:t>
      </w:r>
      <w:r w:rsidR="003040BC" w:rsidRPr="003040BC">
        <w:rPr>
          <w:rFonts w:ascii="Arial" w:hAnsi="Arial" w:cs="Arial"/>
          <w:color w:val="000000"/>
        </w:rPr>
        <w:t xml:space="preserve"> </w:t>
      </w:r>
      <w:r w:rsidRPr="003040BC">
        <w:rPr>
          <w:rFonts w:ascii="Arial" w:hAnsi="Arial" w:cs="Arial"/>
          <w:color w:val="000000"/>
        </w:rPr>
        <w:t xml:space="preserve">USD United States </w:t>
      </w:r>
      <w:r w:rsidR="003040BC">
        <w:rPr>
          <w:rFonts w:ascii="Arial" w:hAnsi="Arial" w:cs="Arial"/>
          <w:color w:val="000000"/>
        </w:rPr>
        <w:t>D</w:t>
      </w:r>
      <w:r w:rsidRPr="003040BC">
        <w:rPr>
          <w:rFonts w:ascii="Arial" w:hAnsi="Arial" w:cs="Arial"/>
          <w:color w:val="000000"/>
        </w:rPr>
        <w:t>ollars</w:t>
      </w:r>
    </w:p>
    <w:p w14:paraId="56B95AAB" w14:textId="77777777" w:rsidR="001B7A46" w:rsidRPr="00BA3685" w:rsidRDefault="001B7A46" w:rsidP="001B7A46">
      <w:pPr>
        <w:pStyle w:val="NormalWeb"/>
        <w:spacing w:before="0" w:beforeAutospacing="0" w:after="0" w:afterAutospacing="0"/>
        <w:jc w:val="both"/>
        <w:rPr>
          <w:rFonts w:ascii="Arial" w:hAnsi="Arial" w:cs="Arial"/>
          <w:b/>
          <w:bCs/>
          <w:color w:val="000000"/>
        </w:rPr>
      </w:pPr>
    </w:p>
    <w:p w14:paraId="328435C6" w14:textId="41264574"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ISSUING BANK: </w:t>
      </w:r>
      <w:r w:rsidRPr="003040BC">
        <w:rPr>
          <w:rFonts w:ascii="Arial" w:hAnsi="Arial" w:cs="Arial"/>
          <w:color w:val="000000"/>
        </w:rPr>
        <w:t>(include the following information about the foreign financial institution)</w:t>
      </w:r>
      <w:r w:rsidR="003040BC">
        <w:rPr>
          <w:rFonts w:ascii="Arial" w:hAnsi="Arial" w:cs="Arial"/>
          <w:color w:val="000000"/>
        </w:rPr>
        <w:t>:</w:t>
      </w:r>
    </w:p>
    <w:p w14:paraId="150FCC64"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1A20DB8B"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79931459"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1A8084A8"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4F6DF147" w14:textId="77777777" w:rsid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[City phone number with country and city code]</w:t>
      </w:r>
    </w:p>
    <w:p w14:paraId="47489DEE" w14:textId="77777777" w:rsidR="001B7A46" w:rsidRPr="00BA3685" w:rsidRDefault="001B7A46" w:rsidP="001B7A46">
      <w:pPr>
        <w:pStyle w:val="NormalWeb"/>
        <w:spacing w:before="0" w:beforeAutospacing="0" w:after="0" w:afterAutospacing="0"/>
        <w:ind w:firstLine="708"/>
        <w:jc w:val="both"/>
        <w:rPr>
          <w:rFonts w:ascii="Arial" w:hAnsi="Arial" w:cs="Arial"/>
          <w:b/>
          <w:bCs/>
          <w:color w:val="000000"/>
        </w:rPr>
      </w:pPr>
    </w:p>
    <w:p w14:paraId="47CE1F3D" w14:textId="5A45C1BD" w:rsidR="00BA3685" w:rsidRPr="003040BC" w:rsidRDefault="003040BC" w:rsidP="001B7A46">
      <w:pPr>
        <w:pStyle w:val="NormalWeb"/>
        <w:spacing w:before="0" w:beforeAutospacing="0" w:after="0" w:afterAutospacing="0"/>
        <w:jc w:val="both"/>
        <w:rPr>
          <w:rFonts w:ascii="Arial" w:hAnsi="Arial" w:cs="Arial"/>
          <w:color w:val="000000"/>
        </w:rPr>
      </w:pPr>
      <w:r>
        <w:rPr>
          <w:rFonts w:ascii="Arial" w:hAnsi="Arial" w:cs="Arial"/>
          <w:b/>
          <w:bCs/>
          <w:color w:val="000000"/>
        </w:rPr>
        <w:t>CORRESPONDENT BANK IN COLOMBIA</w:t>
      </w:r>
      <w:r w:rsidR="00BA3685" w:rsidRPr="00BA3685">
        <w:rPr>
          <w:rFonts w:ascii="Arial" w:hAnsi="Arial" w:cs="Arial"/>
          <w:b/>
          <w:bCs/>
          <w:color w:val="000000"/>
        </w:rPr>
        <w:t xml:space="preserve">: </w:t>
      </w:r>
      <w:r w:rsidR="00BA3685" w:rsidRPr="003040BC">
        <w:rPr>
          <w:rFonts w:ascii="Arial" w:hAnsi="Arial" w:cs="Arial"/>
          <w:color w:val="000000"/>
        </w:rPr>
        <w:t>(include the following data from the Colombian financial institution):</w:t>
      </w:r>
    </w:p>
    <w:p w14:paraId="499136F5" w14:textId="77777777" w:rsidR="00BA3685" w:rsidRPr="00BA3685" w:rsidRDefault="00BA3685" w:rsidP="001B7A46">
      <w:pPr>
        <w:pStyle w:val="NormalWeb"/>
        <w:spacing w:before="0" w:beforeAutospacing="0" w:after="0" w:afterAutospacing="0"/>
        <w:ind w:left="708"/>
        <w:jc w:val="both"/>
        <w:rPr>
          <w:rFonts w:ascii="Arial" w:hAnsi="Arial" w:cs="Arial"/>
          <w:b/>
          <w:bCs/>
          <w:color w:val="000000"/>
        </w:rPr>
      </w:pPr>
      <w:r w:rsidRPr="00BA3685">
        <w:rPr>
          <w:rFonts w:ascii="Arial" w:hAnsi="Arial" w:cs="Arial"/>
          <w:b/>
          <w:bCs/>
          <w:color w:val="000000"/>
        </w:rPr>
        <w:t>[Business name]</w:t>
      </w:r>
    </w:p>
    <w:p w14:paraId="62F64000"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1C022887"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19D9856F"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48E0A441"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54CD6C47" w14:textId="77777777" w:rsidR="003040BC" w:rsidRDefault="003040BC" w:rsidP="001B7A46">
      <w:pPr>
        <w:pStyle w:val="NormalWeb"/>
        <w:spacing w:before="0" w:beforeAutospacing="0" w:after="0" w:afterAutospacing="0"/>
        <w:jc w:val="both"/>
        <w:rPr>
          <w:rFonts w:ascii="Arial" w:hAnsi="Arial" w:cs="Arial"/>
          <w:b/>
          <w:bCs/>
          <w:color w:val="000000"/>
        </w:rPr>
      </w:pPr>
    </w:p>
    <w:p w14:paraId="6D0A1C8A" w14:textId="2776DEE1"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 xml:space="preserve">THE </w:t>
      </w:r>
      <w:r w:rsidR="003040BC">
        <w:rPr>
          <w:rFonts w:ascii="Arial" w:hAnsi="Arial" w:cs="Arial"/>
          <w:b/>
          <w:bCs/>
          <w:color w:val="000000"/>
        </w:rPr>
        <w:t>APPLICANT</w:t>
      </w:r>
      <w:r w:rsidRPr="00BA3685">
        <w:rPr>
          <w:rFonts w:ascii="Arial" w:hAnsi="Arial" w:cs="Arial"/>
          <w:b/>
          <w:bCs/>
          <w:color w:val="000000"/>
        </w:rPr>
        <w:t>:</w:t>
      </w:r>
    </w:p>
    <w:p w14:paraId="37F5CC8D"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6BB4FEC8"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199F3C63"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0CDC7404"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005B6CF6"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423E4225" w14:textId="77777777" w:rsidR="003040BC" w:rsidRDefault="003040BC" w:rsidP="001B7A46">
      <w:pPr>
        <w:pStyle w:val="NormalWeb"/>
        <w:spacing w:before="0" w:beforeAutospacing="0" w:after="0" w:afterAutospacing="0"/>
        <w:jc w:val="both"/>
        <w:rPr>
          <w:rFonts w:ascii="Arial" w:hAnsi="Arial" w:cs="Arial"/>
          <w:b/>
          <w:bCs/>
          <w:color w:val="000000"/>
        </w:rPr>
      </w:pPr>
    </w:p>
    <w:p w14:paraId="4E6FD2FD" w14:textId="67BFC039"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THE GUARANTEED:</w:t>
      </w:r>
    </w:p>
    <w:p w14:paraId="32FE018A"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[Business name]</w:t>
      </w:r>
    </w:p>
    <w:p w14:paraId="558DD3E3"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[Type/ID number]</w:t>
      </w:r>
    </w:p>
    <w:p w14:paraId="3D06939E"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[Office address, city and country]</w:t>
      </w:r>
    </w:p>
    <w:p w14:paraId="4059DA4F"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[Certified email]</w:t>
      </w:r>
    </w:p>
    <w:p w14:paraId="5218CE3B"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[Phone of the entity]</w:t>
      </w:r>
    </w:p>
    <w:p w14:paraId="60B3FD9B" w14:textId="77777777" w:rsidR="003040BC" w:rsidRDefault="003040BC" w:rsidP="001B7A46">
      <w:pPr>
        <w:pStyle w:val="NormalWeb"/>
        <w:spacing w:before="0" w:beforeAutospacing="0" w:after="0" w:afterAutospacing="0"/>
        <w:jc w:val="both"/>
        <w:rPr>
          <w:rFonts w:ascii="Arial" w:hAnsi="Arial" w:cs="Arial"/>
          <w:b/>
          <w:bCs/>
          <w:color w:val="000000"/>
        </w:rPr>
      </w:pPr>
    </w:p>
    <w:p w14:paraId="1CAC9CDB" w14:textId="697C4D72" w:rsidR="00BA3685" w:rsidRPr="00BA3685" w:rsidRDefault="00BA3685" w:rsidP="001B7A46">
      <w:pPr>
        <w:pStyle w:val="NormalWeb"/>
        <w:spacing w:before="0" w:beforeAutospacing="0" w:after="0" w:afterAutospacing="0"/>
        <w:jc w:val="both"/>
        <w:rPr>
          <w:rFonts w:ascii="Arial" w:hAnsi="Arial" w:cs="Arial"/>
          <w:b/>
          <w:bCs/>
          <w:color w:val="000000"/>
        </w:rPr>
      </w:pPr>
      <w:r w:rsidRPr="00BA3685">
        <w:rPr>
          <w:rFonts w:ascii="Arial" w:hAnsi="Arial" w:cs="Arial"/>
          <w:b/>
          <w:bCs/>
          <w:color w:val="000000"/>
        </w:rPr>
        <w:t>THE BENEFICIARY:</w:t>
      </w:r>
    </w:p>
    <w:p w14:paraId="250A34DC" w14:textId="47DF8E59"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XM COMPAÑÍA DE EXPERTOS EN MERCADOS S.A ESP – XM S.A ESP</w:t>
      </w:r>
    </w:p>
    <w:p w14:paraId="139A9159"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NIT 900.042.857-1</w:t>
      </w:r>
    </w:p>
    <w:p w14:paraId="2BC6CA5E" w14:textId="77777777" w:rsidR="00BA3685" w:rsidRPr="00BA368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Calle 12 Sur # 18-168. Medellin Colombia.</w:t>
      </w:r>
    </w:p>
    <w:p w14:paraId="044E331F" w14:textId="42768A02" w:rsidR="00BA3685" w:rsidRPr="00BA3685" w:rsidRDefault="003040BC"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I</w:t>
      </w:r>
      <w:r w:rsidR="00BA3685" w:rsidRPr="00BA3685">
        <w:rPr>
          <w:rFonts w:ascii="Arial" w:hAnsi="Arial" w:cs="Arial"/>
          <w:b/>
          <w:bCs/>
          <w:color w:val="000000"/>
        </w:rPr>
        <w:t xml:space="preserve">nfo@xm.com.co; </w:t>
      </w:r>
      <w:r>
        <w:rPr>
          <w:rFonts w:ascii="Arial" w:hAnsi="Arial" w:cs="Arial"/>
          <w:b/>
          <w:bCs/>
          <w:color w:val="000000"/>
        </w:rPr>
        <w:t>notificacionesjudiciales</w:t>
      </w:r>
      <w:r w:rsidR="00BA3685" w:rsidRPr="00BA3685">
        <w:rPr>
          <w:rFonts w:ascii="Arial" w:hAnsi="Arial" w:cs="Arial"/>
          <w:b/>
          <w:bCs/>
          <w:color w:val="000000"/>
        </w:rPr>
        <w:t>@xm.com.co</w:t>
      </w:r>
    </w:p>
    <w:p w14:paraId="418737F1" w14:textId="589951C8" w:rsidR="00BA3685" w:rsidRPr="00516A75" w:rsidRDefault="00BA3685" w:rsidP="001B7A46">
      <w:pPr>
        <w:pStyle w:val="NormalWeb"/>
        <w:spacing w:before="0" w:beforeAutospacing="0" w:after="0" w:afterAutospacing="0"/>
        <w:ind w:firstLine="708"/>
        <w:jc w:val="both"/>
        <w:rPr>
          <w:rFonts w:ascii="Arial" w:hAnsi="Arial" w:cs="Arial"/>
          <w:b/>
          <w:bCs/>
          <w:color w:val="000000"/>
        </w:rPr>
      </w:pPr>
      <w:r w:rsidRPr="00BA3685">
        <w:rPr>
          <w:rFonts w:ascii="Arial" w:hAnsi="Arial" w:cs="Arial"/>
          <w:b/>
          <w:bCs/>
          <w:color w:val="000000"/>
        </w:rPr>
        <w:t>+57 (604) 317 2929</w:t>
      </w:r>
    </w:p>
    <w:p w14:paraId="2C94AB80" w14:textId="3138BC98" w:rsidR="001B7A46" w:rsidRDefault="003040BC" w:rsidP="001B7A46">
      <w:pPr>
        <w:pStyle w:val="NormalWeb"/>
        <w:ind w:left="-1134"/>
        <w:jc w:val="both"/>
        <w:rPr>
          <w:rFonts w:ascii="Arial" w:hAnsi="Arial" w:cs="Arial"/>
          <w:color w:val="000000"/>
        </w:rPr>
      </w:pPr>
      <w:bookmarkStart w:id="0" w:name="_Hlk158823929"/>
      <w:bookmarkStart w:id="1" w:name="_Hlk158901444"/>
      <w:r>
        <w:rPr>
          <w:rFonts w:ascii="Arial" w:hAnsi="Arial" w:cs="Arial"/>
          <w:color w:val="000000"/>
        </w:rPr>
        <w:t>By order</w:t>
      </w:r>
      <w:r w:rsidRPr="003040BC">
        <w:rPr>
          <w:rFonts w:ascii="Arial" w:hAnsi="Arial" w:cs="Arial"/>
          <w:color w:val="000000"/>
        </w:rPr>
        <w:t xml:space="preserve"> of </w:t>
      </w:r>
      <w:r w:rsidR="001B7A46">
        <w:rPr>
          <w:rFonts w:ascii="Arial" w:hAnsi="Arial" w:cs="Arial"/>
          <w:color w:val="000000"/>
        </w:rPr>
        <w:t xml:space="preserve">our client </w:t>
      </w:r>
      <w:r w:rsidRPr="003040BC">
        <w:rPr>
          <w:rFonts w:ascii="Arial" w:hAnsi="Arial" w:cs="Arial"/>
          <w:color w:val="000000"/>
        </w:rPr>
        <w:t>(</w:t>
      </w:r>
      <w:r w:rsidRPr="001B7A46">
        <w:rPr>
          <w:rFonts w:ascii="Arial" w:hAnsi="Arial" w:cs="Arial"/>
          <w:b/>
          <w:bCs/>
          <w:color w:val="000000"/>
        </w:rPr>
        <w:t>include the name of the Applicant</w:t>
      </w:r>
      <w:r w:rsidRPr="003040BC">
        <w:rPr>
          <w:rFonts w:ascii="Arial" w:hAnsi="Arial" w:cs="Arial"/>
          <w:color w:val="000000"/>
        </w:rPr>
        <w:t xml:space="preserve">), a company identified with </w:t>
      </w:r>
      <w:r w:rsidRPr="001B7A46">
        <w:rPr>
          <w:rFonts w:ascii="Arial" w:hAnsi="Arial" w:cs="Arial"/>
          <w:b/>
          <w:bCs/>
          <w:color w:val="000000"/>
        </w:rPr>
        <w:t>type</w:t>
      </w:r>
      <w:r>
        <w:rPr>
          <w:rFonts w:ascii="Arial" w:hAnsi="Arial" w:cs="Arial"/>
          <w:color w:val="000000"/>
        </w:rPr>
        <w:t xml:space="preserve"> and un </w:t>
      </w:r>
      <w:r w:rsidR="001B7A46" w:rsidRPr="001B7A46">
        <w:rPr>
          <w:rFonts w:ascii="Arial" w:hAnsi="Arial" w:cs="Arial"/>
          <w:b/>
          <w:bCs/>
          <w:color w:val="000000"/>
        </w:rPr>
        <w:t>nu</w:t>
      </w:r>
      <w:r w:rsidRPr="001B7A46">
        <w:rPr>
          <w:rFonts w:ascii="Arial" w:hAnsi="Arial" w:cs="Arial"/>
          <w:b/>
          <w:bCs/>
          <w:color w:val="000000"/>
        </w:rPr>
        <w:t>mber</w:t>
      </w:r>
      <w:r w:rsidRPr="003040BC">
        <w:rPr>
          <w:rFonts w:ascii="Arial" w:hAnsi="Arial" w:cs="Arial"/>
          <w:color w:val="000000"/>
        </w:rPr>
        <w:t xml:space="preserve"> (hereinafter the </w:t>
      </w:r>
      <w:r>
        <w:rPr>
          <w:rFonts w:ascii="Arial" w:hAnsi="Arial" w:cs="Arial"/>
          <w:color w:val="000000"/>
        </w:rPr>
        <w:t>“APPLICANT</w:t>
      </w:r>
      <w:r w:rsidRPr="003040BC">
        <w:rPr>
          <w:rFonts w:ascii="Arial" w:hAnsi="Arial" w:cs="Arial"/>
          <w:color w:val="000000"/>
        </w:rPr>
        <w:t xml:space="preserve">”), </w:t>
      </w:r>
      <w:r w:rsidR="001B7A46" w:rsidRPr="001B7A46">
        <w:rPr>
          <w:rFonts w:ascii="Arial" w:hAnsi="Arial" w:cs="Arial"/>
          <w:b/>
          <w:bCs/>
          <w:color w:val="000000"/>
        </w:rPr>
        <w:t>n</w:t>
      </w:r>
      <w:r w:rsidRPr="001B7A46">
        <w:rPr>
          <w:rFonts w:ascii="Arial" w:hAnsi="Arial" w:cs="Arial"/>
          <w:b/>
          <w:bCs/>
          <w:color w:val="000000"/>
        </w:rPr>
        <w:t>ame of the financial entity</w:t>
      </w:r>
      <w:r w:rsidRPr="003040BC">
        <w:rPr>
          <w:rFonts w:ascii="Arial" w:hAnsi="Arial" w:cs="Arial"/>
          <w:color w:val="000000"/>
        </w:rPr>
        <w:t xml:space="preserve">, banking establishment with </w:t>
      </w:r>
      <w:r w:rsidRPr="001B7A46">
        <w:rPr>
          <w:rFonts w:ascii="Arial" w:hAnsi="Arial" w:cs="Arial"/>
          <w:b/>
          <w:bCs/>
          <w:color w:val="000000"/>
        </w:rPr>
        <w:t>main address</w:t>
      </w:r>
      <w:r w:rsidRPr="003040BC">
        <w:rPr>
          <w:rFonts w:ascii="Arial" w:hAnsi="Arial" w:cs="Arial"/>
          <w:color w:val="000000"/>
        </w:rPr>
        <w:t xml:space="preserve"> in </w:t>
      </w:r>
      <w:r w:rsidRPr="001B7A46">
        <w:rPr>
          <w:rFonts w:ascii="Arial" w:hAnsi="Arial" w:cs="Arial"/>
          <w:b/>
          <w:bCs/>
          <w:color w:val="000000"/>
        </w:rPr>
        <w:t>city</w:t>
      </w:r>
      <w:r w:rsidR="001B7A46">
        <w:rPr>
          <w:rFonts w:ascii="Arial" w:hAnsi="Arial" w:cs="Arial"/>
          <w:color w:val="000000"/>
        </w:rPr>
        <w:t xml:space="preserve">, </w:t>
      </w:r>
      <w:r w:rsidRPr="001B7A46">
        <w:rPr>
          <w:rFonts w:ascii="Arial" w:hAnsi="Arial" w:cs="Arial"/>
          <w:b/>
          <w:bCs/>
          <w:color w:val="000000"/>
        </w:rPr>
        <w:t>country</w:t>
      </w:r>
      <w:r w:rsidRPr="003040BC">
        <w:rPr>
          <w:rFonts w:ascii="Arial" w:hAnsi="Arial" w:cs="Arial"/>
          <w:color w:val="000000"/>
        </w:rPr>
        <w:t xml:space="preserve"> and through the branch located in </w:t>
      </w:r>
      <w:r w:rsidRPr="001B7A46">
        <w:rPr>
          <w:rFonts w:ascii="Arial" w:hAnsi="Arial" w:cs="Arial"/>
          <w:b/>
          <w:bCs/>
          <w:color w:val="000000"/>
        </w:rPr>
        <w:t>city</w:t>
      </w:r>
      <w:r w:rsidR="001B7A46">
        <w:rPr>
          <w:rFonts w:ascii="Arial" w:hAnsi="Arial" w:cs="Arial"/>
          <w:color w:val="000000"/>
        </w:rPr>
        <w:t>,</w:t>
      </w:r>
      <w:r w:rsidRPr="003040BC">
        <w:rPr>
          <w:rFonts w:ascii="Arial" w:hAnsi="Arial" w:cs="Arial"/>
          <w:color w:val="000000"/>
        </w:rPr>
        <w:t xml:space="preserve"> </w:t>
      </w:r>
      <w:r w:rsidRPr="001B7A46">
        <w:rPr>
          <w:rFonts w:ascii="Arial" w:hAnsi="Arial" w:cs="Arial"/>
          <w:b/>
          <w:bCs/>
          <w:color w:val="000000"/>
        </w:rPr>
        <w:t>country</w:t>
      </w:r>
      <w:r w:rsidRPr="003040BC">
        <w:rPr>
          <w:rFonts w:ascii="Arial" w:hAnsi="Arial" w:cs="Arial"/>
          <w:color w:val="000000"/>
        </w:rPr>
        <w:t xml:space="preserve"> (hereinafter the “ISSUING BANK”) legally represented in this document by</w:t>
      </w:r>
      <w:r w:rsidR="001B7A46">
        <w:rPr>
          <w:rFonts w:ascii="Arial" w:hAnsi="Arial" w:cs="Arial"/>
          <w:color w:val="000000"/>
        </w:rPr>
        <w:t xml:space="preserve"> </w:t>
      </w:r>
      <w:r w:rsidRPr="003040BC">
        <w:rPr>
          <w:rFonts w:ascii="Arial" w:hAnsi="Arial" w:cs="Arial"/>
          <w:b/>
          <w:bCs/>
          <w:color w:val="000000"/>
        </w:rPr>
        <w:t>type</w:t>
      </w:r>
      <w:r w:rsidRPr="003040BC">
        <w:rPr>
          <w:rFonts w:ascii="Arial" w:hAnsi="Arial" w:cs="Arial"/>
          <w:color w:val="000000"/>
        </w:rPr>
        <w:t xml:space="preserve"> and </w:t>
      </w:r>
      <w:r w:rsidRPr="003040BC">
        <w:rPr>
          <w:rFonts w:ascii="Arial" w:hAnsi="Arial" w:cs="Arial"/>
          <w:b/>
          <w:bCs/>
          <w:color w:val="000000"/>
        </w:rPr>
        <w:t>number</w:t>
      </w:r>
      <w:r w:rsidRPr="003040BC">
        <w:rPr>
          <w:rFonts w:ascii="Arial" w:hAnsi="Arial" w:cs="Arial"/>
          <w:color w:val="000000"/>
        </w:rPr>
        <w:t xml:space="preserve">, </w:t>
      </w:r>
      <w:r w:rsidR="001B7A46">
        <w:rPr>
          <w:rFonts w:ascii="Arial" w:hAnsi="Arial" w:cs="Arial"/>
          <w:color w:val="000000"/>
        </w:rPr>
        <w:t xml:space="preserve">hereby establish our irrevocable standby letter of credit </w:t>
      </w:r>
      <w:r w:rsidR="001B7A46" w:rsidRPr="001B7A46">
        <w:rPr>
          <w:rFonts w:ascii="Arial" w:hAnsi="Arial" w:cs="Arial"/>
          <w:b/>
          <w:bCs/>
          <w:color w:val="000000"/>
        </w:rPr>
        <w:t>number</w:t>
      </w:r>
      <w:r w:rsidR="001B7A46">
        <w:rPr>
          <w:rFonts w:ascii="Arial" w:hAnsi="Arial" w:cs="Arial"/>
          <w:color w:val="000000"/>
        </w:rPr>
        <w:t xml:space="preserve"> in favor of yourselves, XM Compañía de Expertos en Mercados S.A.E. E.SP. (the “BENEFICIARY”) in the amount of USD </w:t>
      </w:r>
      <w:r w:rsidR="001B7A46" w:rsidRPr="001B7A46">
        <w:rPr>
          <w:rFonts w:ascii="Arial" w:hAnsi="Arial" w:cs="Arial"/>
          <w:b/>
          <w:bCs/>
          <w:color w:val="000000"/>
        </w:rPr>
        <w:t>amount in text</w:t>
      </w:r>
      <w:r w:rsidR="001B7A46">
        <w:rPr>
          <w:rFonts w:ascii="Arial" w:hAnsi="Arial" w:cs="Arial"/>
          <w:color w:val="000000"/>
        </w:rPr>
        <w:t xml:space="preserve"> (USD </w:t>
      </w:r>
      <w:r w:rsidR="001B7A46" w:rsidRPr="001B7A46">
        <w:rPr>
          <w:rFonts w:ascii="Arial" w:hAnsi="Arial" w:cs="Arial"/>
          <w:b/>
          <w:bCs/>
          <w:color w:val="000000"/>
        </w:rPr>
        <w:t>amount in numbers</w:t>
      </w:r>
      <w:r w:rsidR="001B7A46">
        <w:rPr>
          <w:rFonts w:ascii="Arial" w:hAnsi="Arial" w:cs="Arial"/>
          <w:color w:val="000000"/>
        </w:rPr>
        <w:t>).</w:t>
      </w:r>
    </w:p>
    <w:p w14:paraId="47E0CB85" w14:textId="32221011" w:rsidR="00987918" w:rsidRDefault="001B7A46" w:rsidP="00987918">
      <w:pPr>
        <w:pStyle w:val="NormalWeb"/>
        <w:ind w:left="-1134"/>
        <w:jc w:val="both"/>
        <w:rPr>
          <w:rFonts w:ascii="Arial" w:hAnsi="Arial" w:cs="Arial"/>
          <w:color w:val="000000"/>
        </w:rPr>
      </w:pPr>
      <w:r>
        <w:rPr>
          <w:rFonts w:ascii="Arial" w:hAnsi="Arial" w:cs="Arial"/>
          <w:color w:val="000000"/>
        </w:rPr>
        <w:t>This standby letter of credit</w:t>
      </w:r>
      <w:r w:rsidR="003040BC" w:rsidRPr="003040BC">
        <w:rPr>
          <w:rFonts w:ascii="Arial" w:hAnsi="Arial" w:cs="Arial"/>
          <w:color w:val="000000"/>
        </w:rPr>
        <w:t xml:space="preserve"> is to be paid upon first demand</w:t>
      </w:r>
      <w:r w:rsidR="007F1A96">
        <w:rPr>
          <w:rFonts w:ascii="Arial" w:hAnsi="Arial" w:cs="Arial"/>
          <w:color w:val="000000"/>
        </w:rPr>
        <w:t xml:space="preserve">. </w:t>
      </w:r>
      <w:r w:rsidR="00987918">
        <w:rPr>
          <w:rFonts w:ascii="Arial" w:hAnsi="Arial" w:cs="Arial"/>
          <w:color w:val="000000"/>
        </w:rPr>
        <w:t xml:space="preserve">Funds under this standby letter of credit are avalaible to </w:t>
      </w:r>
      <w:r w:rsidR="00046CDC">
        <w:rPr>
          <w:rFonts w:ascii="Arial" w:hAnsi="Arial" w:cs="Arial"/>
          <w:color w:val="000000"/>
        </w:rPr>
        <w:t>the BENEFICIARY</w:t>
      </w:r>
      <w:r w:rsidR="00987918">
        <w:rPr>
          <w:rFonts w:ascii="Arial" w:hAnsi="Arial" w:cs="Arial"/>
          <w:color w:val="000000"/>
        </w:rPr>
        <w:t xml:space="preserve"> whitin fifteen (15) </w:t>
      </w:r>
      <w:r w:rsidR="007F1A96" w:rsidRPr="00987918">
        <w:rPr>
          <w:rFonts w:ascii="Arial" w:hAnsi="Arial" w:cs="Arial"/>
          <w:color w:val="000000"/>
        </w:rPr>
        <w:t>calendar days following the payment request into the Colombian bank account indicated by the BENEFICIARY</w:t>
      </w:r>
    </w:p>
    <w:p w14:paraId="069470F8" w14:textId="77777777"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The payment request can be submitted through SWIFT system messaging services, courier services or certified email.</w:t>
      </w:r>
    </w:p>
    <w:p w14:paraId="07BE8BED" w14:textId="016CC4F5"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 xml:space="preserve">All bank charges must be paid by THE </w:t>
      </w:r>
      <w:r>
        <w:rPr>
          <w:rFonts w:ascii="Arial" w:hAnsi="Arial" w:cs="Arial"/>
          <w:color w:val="000000"/>
        </w:rPr>
        <w:t>APPPLICANT</w:t>
      </w:r>
      <w:r w:rsidRPr="00ED3EFC">
        <w:rPr>
          <w:rFonts w:ascii="Arial" w:hAnsi="Arial" w:cs="Arial"/>
          <w:color w:val="000000"/>
        </w:rPr>
        <w:t>. Therefore, the amount paid will be net, free of any type of deduction, deposit, commission, reserve, tax, rate, contribution, allocation or withholding by the ISSUING BANK and/or tax or exchange authorities</w:t>
      </w:r>
      <w:r>
        <w:rPr>
          <w:rFonts w:ascii="Arial" w:hAnsi="Arial" w:cs="Arial"/>
          <w:color w:val="000000"/>
        </w:rPr>
        <w:t xml:space="preserve"> </w:t>
      </w:r>
      <w:r w:rsidRPr="00ED3EFC">
        <w:rPr>
          <w:rFonts w:ascii="Arial" w:hAnsi="Arial" w:cs="Arial"/>
          <w:color w:val="000000"/>
        </w:rPr>
        <w:t xml:space="preserve">that may affect the total </w:t>
      </w:r>
      <w:r>
        <w:rPr>
          <w:rFonts w:ascii="Arial" w:hAnsi="Arial" w:cs="Arial"/>
          <w:color w:val="000000"/>
        </w:rPr>
        <w:t>covered</w:t>
      </w:r>
      <w:r w:rsidRPr="00ED3EFC">
        <w:rPr>
          <w:rFonts w:ascii="Arial" w:hAnsi="Arial" w:cs="Arial"/>
          <w:color w:val="000000"/>
        </w:rPr>
        <w:t xml:space="preserve"> value at the time of </w:t>
      </w:r>
      <w:r>
        <w:rPr>
          <w:rFonts w:ascii="Arial" w:hAnsi="Arial" w:cs="Arial"/>
          <w:color w:val="000000"/>
        </w:rPr>
        <w:t>payment.</w:t>
      </w:r>
    </w:p>
    <w:p w14:paraId="4E55EBC3" w14:textId="340AAE8F" w:rsidR="00987918" w:rsidRDefault="00ED3EFC" w:rsidP="00ED3EFC">
      <w:pPr>
        <w:pStyle w:val="NormalWeb"/>
        <w:ind w:left="-1134"/>
        <w:jc w:val="both"/>
        <w:rPr>
          <w:rFonts w:ascii="Arial" w:hAnsi="Arial" w:cs="Arial"/>
          <w:color w:val="000000"/>
        </w:rPr>
      </w:pPr>
      <w:r w:rsidRPr="00ED3EFC">
        <w:rPr>
          <w:rFonts w:ascii="Arial" w:hAnsi="Arial" w:cs="Arial"/>
          <w:color w:val="000000"/>
        </w:rPr>
        <w:t>The standby letter of credit may be used partially during its validity and as many times as necessary until the total amount is completed.</w:t>
      </w:r>
    </w:p>
    <w:p w14:paraId="6DFD8FEE" w14:textId="08B4BDDA" w:rsidR="00ED3EFC" w:rsidRPr="00ED3EFC" w:rsidRDefault="00ED3EFC" w:rsidP="00ED3EFC">
      <w:pPr>
        <w:pStyle w:val="NormalWeb"/>
        <w:ind w:left="-1134"/>
        <w:jc w:val="both"/>
        <w:rPr>
          <w:rFonts w:ascii="Arial" w:hAnsi="Arial" w:cs="Arial"/>
          <w:color w:val="000000"/>
        </w:rPr>
      </w:pPr>
      <w:r w:rsidRPr="00ED3EFC">
        <w:rPr>
          <w:rFonts w:ascii="Arial" w:hAnsi="Arial" w:cs="Arial"/>
          <w:color w:val="000000"/>
        </w:rPr>
        <w:t>Any change made to this standby letter of credit must have the approval of the BENEFICIARY. Likewise,</w:t>
      </w:r>
      <w:r>
        <w:rPr>
          <w:rFonts w:ascii="Arial" w:hAnsi="Arial" w:cs="Arial"/>
          <w:color w:val="000000"/>
        </w:rPr>
        <w:t xml:space="preserve"> the standby </w:t>
      </w:r>
      <w:r w:rsidRPr="00ED3EFC">
        <w:rPr>
          <w:rFonts w:ascii="Arial" w:hAnsi="Arial" w:cs="Arial"/>
          <w:color w:val="000000"/>
        </w:rPr>
        <w:t>letter of credit may be released before its expiration date, if the BENEFICIARY sends to the ISSUING BANK a communication signed by its Legal Representative.</w:t>
      </w:r>
    </w:p>
    <w:p w14:paraId="1A9582E9" w14:textId="4EF6A73C" w:rsidR="00ED3EFC" w:rsidRDefault="00ED3EFC" w:rsidP="00ED3EFC">
      <w:pPr>
        <w:pStyle w:val="NormalWeb"/>
        <w:ind w:left="-1134"/>
        <w:jc w:val="both"/>
        <w:rPr>
          <w:rFonts w:ascii="Arial" w:hAnsi="Arial" w:cs="Arial"/>
          <w:color w:val="000000"/>
        </w:rPr>
      </w:pPr>
      <w:r w:rsidRPr="00ED3EFC">
        <w:rPr>
          <w:rFonts w:ascii="Arial" w:hAnsi="Arial" w:cs="Arial"/>
          <w:color w:val="000000"/>
        </w:rPr>
        <w:t>THE</w:t>
      </w:r>
      <w:r w:rsidR="007B7C4A">
        <w:rPr>
          <w:rFonts w:ascii="Arial" w:hAnsi="Arial" w:cs="Arial"/>
          <w:color w:val="000000"/>
        </w:rPr>
        <w:t xml:space="preserve"> </w:t>
      </w:r>
      <w:r w:rsidRPr="00ED3EFC">
        <w:rPr>
          <w:rFonts w:ascii="Arial" w:hAnsi="Arial" w:cs="Arial"/>
          <w:color w:val="000000"/>
        </w:rPr>
        <w:t xml:space="preserve">ISSUING BANK of this letter of credit waives judicial, extrajudicial or any other type of requirements for the payment of the </w:t>
      </w:r>
      <w:r w:rsidR="007B7C4A">
        <w:rPr>
          <w:rFonts w:ascii="Arial" w:hAnsi="Arial" w:cs="Arial"/>
          <w:color w:val="000000"/>
        </w:rPr>
        <w:t>covered</w:t>
      </w:r>
      <w:r w:rsidRPr="00ED3EFC">
        <w:rPr>
          <w:rFonts w:ascii="Arial" w:hAnsi="Arial" w:cs="Arial"/>
          <w:color w:val="000000"/>
        </w:rPr>
        <w:t xml:space="preserve"> obligation, both in Colombia and abroad.</w:t>
      </w:r>
    </w:p>
    <w:p w14:paraId="25A682FC" w14:textId="2322EA35"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 xml:space="preserve">This letter of credit is enforceable in accordance with the RUU 600 Standards of the International Chamber of Commerce -ICC- (ICC Uniform Customs and Practice for Documentary Credits UCP 600) or those Standards that modify, add or replace them and as not provided for here are governed by the Rules of the </w:t>
      </w:r>
      <w:r>
        <w:rPr>
          <w:rFonts w:ascii="Arial" w:hAnsi="Arial" w:cs="Arial"/>
          <w:color w:val="000000"/>
        </w:rPr>
        <w:t>S</w:t>
      </w:r>
      <w:r w:rsidRPr="007B7C4A">
        <w:rPr>
          <w:rFonts w:ascii="Arial" w:hAnsi="Arial" w:cs="Arial"/>
          <w:color w:val="000000"/>
        </w:rPr>
        <w:t>tate of New York, United States of America.</w:t>
      </w:r>
    </w:p>
    <w:p w14:paraId="60FE23E1" w14:textId="6A6F730B" w:rsidR="007B7C4A" w:rsidRDefault="007B7C4A" w:rsidP="007B7C4A">
      <w:pPr>
        <w:pStyle w:val="NormalWeb"/>
        <w:ind w:left="-1134"/>
        <w:jc w:val="both"/>
        <w:rPr>
          <w:rFonts w:ascii="Arial" w:hAnsi="Arial" w:cs="Arial"/>
          <w:color w:val="000000"/>
        </w:rPr>
      </w:pPr>
      <w:r w:rsidRPr="007B7C4A">
        <w:rPr>
          <w:rFonts w:ascii="Arial" w:hAnsi="Arial" w:cs="Arial"/>
          <w:color w:val="000000"/>
        </w:rPr>
        <w:lastRenderedPageBreak/>
        <w:t xml:space="preserve">Any dispute that may arise between the BENEFICIARY and the ISSUING BANK related to the execution and payment of this standby letter of credit, must be resolved through a </w:t>
      </w:r>
      <w:r>
        <w:rPr>
          <w:rFonts w:ascii="Arial" w:hAnsi="Arial" w:cs="Arial"/>
          <w:color w:val="000000"/>
        </w:rPr>
        <w:t>d</w:t>
      </w:r>
      <w:r w:rsidRPr="007B7C4A">
        <w:rPr>
          <w:rFonts w:ascii="Arial" w:hAnsi="Arial" w:cs="Arial"/>
          <w:color w:val="000000"/>
        </w:rPr>
        <w:t xml:space="preserve">irect </w:t>
      </w:r>
      <w:r>
        <w:rPr>
          <w:rFonts w:ascii="Arial" w:hAnsi="Arial" w:cs="Arial"/>
          <w:color w:val="000000"/>
        </w:rPr>
        <w:t>a</w:t>
      </w:r>
      <w:r w:rsidRPr="007B7C4A">
        <w:rPr>
          <w:rFonts w:ascii="Arial" w:hAnsi="Arial" w:cs="Arial"/>
          <w:color w:val="000000"/>
        </w:rPr>
        <w:t>rrangement mechanism, without this constituting a budget of procedure to access administration of justice</w:t>
      </w:r>
      <w:r>
        <w:rPr>
          <w:rFonts w:ascii="Arial" w:hAnsi="Arial" w:cs="Arial"/>
          <w:color w:val="000000"/>
        </w:rPr>
        <w:t>.</w:t>
      </w:r>
      <w:r w:rsidRPr="007B7C4A">
        <w:rPr>
          <w:rFonts w:ascii="Arial" w:hAnsi="Arial" w:cs="Arial"/>
          <w:color w:val="000000"/>
        </w:rPr>
        <w:t xml:space="preserve"> </w:t>
      </w:r>
      <w:r>
        <w:rPr>
          <w:rFonts w:ascii="Arial" w:hAnsi="Arial" w:cs="Arial"/>
          <w:color w:val="000000"/>
        </w:rPr>
        <w:t>I</w:t>
      </w:r>
      <w:r w:rsidRPr="007B7C4A">
        <w:rPr>
          <w:rFonts w:ascii="Arial" w:hAnsi="Arial" w:cs="Arial"/>
          <w:color w:val="000000"/>
        </w:rPr>
        <w:t xml:space="preserve">f an agreement is not reached, the judges of the State of New York will be the ones to definitively resolve </w:t>
      </w:r>
      <w:r>
        <w:rPr>
          <w:rFonts w:ascii="Arial" w:hAnsi="Arial" w:cs="Arial"/>
          <w:color w:val="000000"/>
        </w:rPr>
        <w:t>the dispute.</w:t>
      </w:r>
    </w:p>
    <w:p w14:paraId="0FE0258B" w14:textId="6531DE58"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The direct arrangement mechanism between the ISSUING BANK and THE BENEFICIARY will be develope</w:t>
      </w:r>
      <w:r>
        <w:rPr>
          <w:rFonts w:ascii="Arial" w:hAnsi="Arial" w:cs="Arial"/>
          <w:color w:val="000000"/>
        </w:rPr>
        <w:t>d</w:t>
      </w:r>
      <w:r w:rsidRPr="007B7C4A">
        <w:rPr>
          <w:rFonts w:ascii="Arial" w:hAnsi="Arial" w:cs="Arial"/>
          <w:color w:val="000000"/>
        </w:rPr>
        <w:t xml:space="preserve"> as follows:</w:t>
      </w:r>
    </w:p>
    <w:p w14:paraId="250D0B7B" w14:textId="01FB616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 xml:space="preserve">1. The disagreeing party will send a written objection, which includes a list of the facts and arguments that </w:t>
      </w:r>
      <w:r>
        <w:rPr>
          <w:rFonts w:ascii="Arial" w:hAnsi="Arial" w:cs="Arial"/>
          <w:color w:val="000000"/>
        </w:rPr>
        <w:t>a</w:t>
      </w:r>
      <w:r w:rsidRPr="007B7C4A">
        <w:rPr>
          <w:rFonts w:ascii="Arial" w:hAnsi="Arial" w:cs="Arial"/>
          <w:color w:val="000000"/>
        </w:rPr>
        <w:t>rise the discussion or disagreement. For this purpose, supporting documents must be attached.</w:t>
      </w:r>
    </w:p>
    <w:p w14:paraId="007E3A31" w14:textId="7777777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2. The party receiving the objections will have ten (10) calendar days from receipt of the objection letter to resolve and respond to the request to which the corresponding supports will be attached.</w:t>
      </w:r>
    </w:p>
    <w:p w14:paraId="058B0860" w14:textId="0D2A18CE"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3. Once the previous period has expired, the parties must coordinate the date on which a meeting can be held, which must be attended with a conciliatory spirit. The parties must meet at least one (1) time to resolve their differences, in a period that does not exceed</w:t>
      </w:r>
      <w:r>
        <w:rPr>
          <w:rFonts w:ascii="Arial" w:hAnsi="Arial" w:cs="Arial"/>
          <w:color w:val="000000"/>
        </w:rPr>
        <w:t xml:space="preserve"> thirty</w:t>
      </w:r>
      <w:r w:rsidRPr="007B7C4A">
        <w:rPr>
          <w:rFonts w:ascii="Arial" w:hAnsi="Arial" w:cs="Arial"/>
          <w:color w:val="000000"/>
        </w:rPr>
        <w:t xml:space="preserve"> </w:t>
      </w:r>
      <w:r>
        <w:rPr>
          <w:rFonts w:ascii="Arial" w:hAnsi="Arial" w:cs="Arial"/>
          <w:color w:val="000000"/>
        </w:rPr>
        <w:t>(</w:t>
      </w:r>
      <w:r w:rsidRPr="007B7C4A">
        <w:rPr>
          <w:rFonts w:ascii="Arial" w:hAnsi="Arial" w:cs="Arial"/>
          <w:color w:val="000000"/>
        </w:rPr>
        <w:t>30</w:t>
      </w:r>
      <w:r>
        <w:rPr>
          <w:rFonts w:ascii="Arial" w:hAnsi="Arial" w:cs="Arial"/>
          <w:color w:val="000000"/>
        </w:rPr>
        <w:t>)</w:t>
      </w:r>
      <w:r w:rsidRPr="007B7C4A">
        <w:rPr>
          <w:rFonts w:ascii="Arial" w:hAnsi="Arial" w:cs="Arial"/>
          <w:color w:val="000000"/>
        </w:rPr>
        <w:t xml:space="preserve"> calendar days.</w:t>
      </w:r>
    </w:p>
    <w:p w14:paraId="41CD028C" w14:textId="77777777" w:rsidR="007B7C4A" w:rsidRPr="007B7C4A" w:rsidRDefault="007B7C4A" w:rsidP="007B7C4A">
      <w:pPr>
        <w:pStyle w:val="NormalWeb"/>
        <w:ind w:left="-1134"/>
        <w:jc w:val="both"/>
        <w:rPr>
          <w:rFonts w:ascii="Arial" w:hAnsi="Arial" w:cs="Arial"/>
          <w:color w:val="000000"/>
        </w:rPr>
      </w:pPr>
      <w:r w:rsidRPr="007B7C4A">
        <w:rPr>
          <w:rFonts w:ascii="Arial" w:hAnsi="Arial" w:cs="Arial"/>
          <w:color w:val="000000"/>
        </w:rPr>
        <w:t>4. If agreement is not possible, it will be understood that the direct settlement stage has been completed.</w:t>
      </w:r>
    </w:p>
    <w:p w14:paraId="404B3900" w14:textId="1FDDDF0B" w:rsidR="007B7C4A" w:rsidRDefault="007B7C4A" w:rsidP="007B7C4A">
      <w:pPr>
        <w:pStyle w:val="NormalWeb"/>
        <w:ind w:left="-1134"/>
        <w:jc w:val="both"/>
        <w:rPr>
          <w:rFonts w:ascii="Arial" w:hAnsi="Arial" w:cs="Arial"/>
          <w:color w:val="000000"/>
        </w:rPr>
      </w:pPr>
      <w:r w:rsidRPr="007B7C4A">
        <w:rPr>
          <w:rFonts w:ascii="Arial" w:hAnsi="Arial" w:cs="Arial"/>
          <w:color w:val="000000"/>
        </w:rPr>
        <w:t>As proof of the above, it is signed by the legal representative of the ISSUING BANK.</w:t>
      </w:r>
    </w:p>
    <w:bookmarkEnd w:id="0"/>
    <w:p w14:paraId="7680258B" w14:textId="77777777" w:rsidR="00ED3EFC" w:rsidRDefault="00ED3EFC" w:rsidP="00ED3EFC">
      <w:pPr>
        <w:pStyle w:val="NormalWeb"/>
        <w:ind w:left="-1134"/>
        <w:jc w:val="both"/>
        <w:rPr>
          <w:rFonts w:ascii="Arial" w:hAnsi="Arial" w:cs="Arial"/>
          <w:b/>
          <w:bCs/>
        </w:rPr>
      </w:pPr>
    </w:p>
    <w:p w14:paraId="37EB1C3F" w14:textId="77777777" w:rsidR="007B7C4A" w:rsidRDefault="007B7C4A" w:rsidP="00ED3EFC">
      <w:pPr>
        <w:pStyle w:val="NormalWeb"/>
        <w:ind w:left="-1134"/>
        <w:jc w:val="both"/>
        <w:rPr>
          <w:rFonts w:ascii="Arial" w:hAnsi="Arial" w:cs="Arial"/>
          <w:b/>
          <w:bCs/>
        </w:rPr>
      </w:pPr>
    </w:p>
    <w:p w14:paraId="1EE4A1DE" w14:textId="745D7CCF" w:rsidR="007B7C4A" w:rsidRDefault="00B55D78" w:rsidP="00ED3EFC">
      <w:pPr>
        <w:pStyle w:val="NormalWeb"/>
        <w:ind w:left="-1134"/>
        <w:jc w:val="both"/>
        <w:rPr>
          <w:rFonts w:ascii="Arial" w:hAnsi="Arial" w:cs="Arial"/>
          <w:b/>
          <w:bCs/>
        </w:rPr>
      </w:pPr>
      <w:r>
        <w:rPr>
          <w:rFonts w:ascii="Arial" w:hAnsi="Arial" w:cs="Arial"/>
          <w:b/>
          <w:bCs/>
        </w:rPr>
        <w:t xml:space="preserve">Issuing Bank </w:t>
      </w:r>
      <w:r w:rsidR="007B7C4A">
        <w:rPr>
          <w:rFonts w:ascii="Arial" w:hAnsi="Arial" w:cs="Arial"/>
          <w:b/>
          <w:bCs/>
        </w:rPr>
        <w:t>Represen</w:t>
      </w:r>
      <w:r>
        <w:rPr>
          <w:rFonts w:ascii="Arial" w:hAnsi="Arial" w:cs="Arial"/>
          <w:b/>
          <w:bCs/>
        </w:rPr>
        <w:t>tative</w:t>
      </w:r>
    </w:p>
    <w:p w14:paraId="774CBCFA" w14:textId="08B18193" w:rsidR="00ED3EFC" w:rsidRDefault="00B55D78" w:rsidP="00ED3EFC">
      <w:pPr>
        <w:pStyle w:val="NormalWeb"/>
        <w:ind w:left="-1134"/>
        <w:jc w:val="both"/>
        <w:rPr>
          <w:rFonts w:ascii="Arial" w:hAnsi="Arial" w:cs="Arial"/>
          <w:b/>
          <w:bCs/>
        </w:rPr>
      </w:pPr>
      <w:r>
        <w:rPr>
          <w:rFonts w:ascii="Arial" w:hAnsi="Arial" w:cs="Arial"/>
          <w:b/>
          <w:bCs/>
        </w:rPr>
        <w:t>ID</w:t>
      </w:r>
      <w:r w:rsidR="00ED3EFC">
        <w:rPr>
          <w:rFonts w:ascii="Arial" w:hAnsi="Arial" w:cs="Arial"/>
          <w:b/>
          <w:bCs/>
        </w:rPr>
        <w:t xml:space="preserve"> </w:t>
      </w:r>
      <w:r>
        <w:rPr>
          <w:rFonts w:ascii="Arial" w:hAnsi="Arial" w:cs="Arial"/>
          <w:b/>
          <w:bCs/>
        </w:rPr>
        <w:t>Number</w:t>
      </w:r>
    </w:p>
    <w:bookmarkEnd w:id="1"/>
    <w:p w14:paraId="24EEB19C" w14:textId="77777777" w:rsidR="001B7A46" w:rsidRDefault="001B7A46" w:rsidP="00D358DF">
      <w:pPr>
        <w:pStyle w:val="NormalWeb"/>
        <w:ind w:left="-1134"/>
        <w:jc w:val="both"/>
        <w:rPr>
          <w:rFonts w:ascii="Arial" w:hAnsi="Arial" w:cs="Arial"/>
          <w:color w:val="000000"/>
        </w:rPr>
      </w:pPr>
    </w:p>
    <w:sectPr w:rsidR="001B7A46" w:rsidSect="008C15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9208A"/>
    <w:multiLevelType w:val="hybridMultilevel"/>
    <w:tmpl w:val="1304C7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6064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A3"/>
    <w:rsid w:val="00046CDC"/>
    <w:rsid w:val="001B7A46"/>
    <w:rsid w:val="00262E81"/>
    <w:rsid w:val="003040BC"/>
    <w:rsid w:val="00667B17"/>
    <w:rsid w:val="00756EDD"/>
    <w:rsid w:val="00782A9E"/>
    <w:rsid w:val="007B7C4A"/>
    <w:rsid w:val="007F1A96"/>
    <w:rsid w:val="008C1542"/>
    <w:rsid w:val="00955374"/>
    <w:rsid w:val="00987918"/>
    <w:rsid w:val="00B40B2B"/>
    <w:rsid w:val="00B55D78"/>
    <w:rsid w:val="00BA3685"/>
    <w:rsid w:val="00C758F2"/>
    <w:rsid w:val="00D05874"/>
    <w:rsid w:val="00D358DF"/>
    <w:rsid w:val="00DD1886"/>
    <w:rsid w:val="00E076BE"/>
    <w:rsid w:val="00ED3EFC"/>
    <w:rsid w:val="00F57F8E"/>
    <w:rsid w:val="00FA49A3"/>
    <w:rsid w:val="00FD0E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69DD"/>
  <w15:chartTrackingRefBased/>
  <w15:docId w15:val="{B89A8308-3A34-4349-95FF-43FB8401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A3"/>
    <w:pPr>
      <w:spacing w:line="259" w:lineRule="auto"/>
    </w:pPr>
    <w:rPr>
      <w:sz w:val="22"/>
      <w:szCs w:val="22"/>
    </w:rPr>
  </w:style>
  <w:style w:type="paragraph" w:styleId="Ttulo1">
    <w:name w:val="heading 1"/>
    <w:basedOn w:val="Normal"/>
    <w:next w:val="Normal"/>
    <w:link w:val="Ttulo1Car"/>
    <w:uiPriority w:val="9"/>
    <w:qFormat/>
    <w:rsid w:val="00FA4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A4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A49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A49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A49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A49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A49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A49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A49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49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A49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A49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A49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A49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A49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A49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A49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A49A3"/>
    <w:rPr>
      <w:rFonts w:eastAsiaTheme="majorEastAsia" w:cstheme="majorBidi"/>
      <w:color w:val="272727" w:themeColor="text1" w:themeTint="D8"/>
    </w:rPr>
  </w:style>
  <w:style w:type="paragraph" w:styleId="Ttulo">
    <w:name w:val="Title"/>
    <w:basedOn w:val="Normal"/>
    <w:next w:val="Normal"/>
    <w:link w:val="TtuloCar"/>
    <w:uiPriority w:val="10"/>
    <w:qFormat/>
    <w:rsid w:val="00FA4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A49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A49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A49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A49A3"/>
    <w:pPr>
      <w:spacing w:before="160"/>
      <w:jc w:val="center"/>
    </w:pPr>
    <w:rPr>
      <w:i/>
      <w:iCs/>
      <w:color w:val="404040" w:themeColor="text1" w:themeTint="BF"/>
    </w:rPr>
  </w:style>
  <w:style w:type="character" w:customStyle="1" w:styleId="CitaCar">
    <w:name w:val="Cita Car"/>
    <w:basedOn w:val="Fuentedeprrafopredeter"/>
    <w:link w:val="Cita"/>
    <w:uiPriority w:val="29"/>
    <w:rsid w:val="00FA49A3"/>
    <w:rPr>
      <w:i/>
      <w:iCs/>
      <w:color w:val="404040" w:themeColor="text1" w:themeTint="BF"/>
    </w:rPr>
  </w:style>
  <w:style w:type="paragraph" w:styleId="Prrafodelista">
    <w:name w:val="List Paragraph"/>
    <w:basedOn w:val="Normal"/>
    <w:uiPriority w:val="34"/>
    <w:qFormat/>
    <w:rsid w:val="00FA49A3"/>
    <w:pPr>
      <w:ind w:left="720"/>
      <w:contextualSpacing/>
    </w:pPr>
  </w:style>
  <w:style w:type="character" w:styleId="nfasisintenso">
    <w:name w:val="Intense Emphasis"/>
    <w:basedOn w:val="Fuentedeprrafopredeter"/>
    <w:uiPriority w:val="21"/>
    <w:qFormat/>
    <w:rsid w:val="00FA49A3"/>
    <w:rPr>
      <w:i/>
      <w:iCs/>
      <w:color w:val="0F4761" w:themeColor="accent1" w:themeShade="BF"/>
    </w:rPr>
  </w:style>
  <w:style w:type="paragraph" w:styleId="Citadestacada">
    <w:name w:val="Intense Quote"/>
    <w:basedOn w:val="Normal"/>
    <w:next w:val="Normal"/>
    <w:link w:val="CitadestacadaCar"/>
    <w:uiPriority w:val="30"/>
    <w:qFormat/>
    <w:rsid w:val="00FA4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A49A3"/>
    <w:rPr>
      <w:i/>
      <w:iCs/>
      <w:color w:val="0F4761" w:themeColor="accent1" w:themeShade="BF"/>
    </w:rPr>
  </w:style>
  <w:style w:type="character" w:styleId="Referenciaintensa">
    <w:name w:val="Intense Reference"/>
    <w:basedOn w:val="Fuentedeprrafopredeter"/>
    <w:uiPriority w:val="32"/>
    <w:qFormat/>
    <w:rsid w:val="00FA49A3"/>
    <w:rPr>
      <w:b/>
      <w:bCs/>
      <w:smallCaps/>
      <w:color w:val="0F4761" w:themeColor="accent1" w:themeShade="BF"/>
      <w:spacing w:val="5"/>
    </w:rPr>
  </w:style>
  <w:style w:type="paragraph" w:styleId="NormalWeb">
    <w:name w:val="Normal (Web)"/>
    <w:basedOn w:val="Normal"/>
    <w:uiPriority w:val="99"/>
    <w:unhideWhenUsed/>
    <w:rsid w:val="00FA49A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Hipervnculo">
    <w:name w:val="Hyperlink"/>
    <w:basedOn w:val="Fuentedeprrafopredeter"/>
    <w:uiPriority w:val="99"/>
    <w:unhideWhenUsed/>
    <w:rsid w:val="00FA49A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84181">
      <w:bodyDiv w:val="1"/>
      <w:marLeft w:val="0"/>
      <w:marRight w:val="0"/>
      <w:marTop w:val="0"/>
      <w:marBottom w:val="0"/>
      <w:divBdr>
        <w:top w:val="none" w:sz="0" w:space="0" w:color="auto"/>
        <w:left w:val="none" w:sz="0" w:space="0" w:color="auto"/>
        <w:bottom w:val="none" w:sz="0" w:space="0" w:color="auto"/>
        <w:right w:val="none" w:sz="0" w:space="0" w:color="auto"/>
      </w:divBdr>
    </w:div>
    <w:div w:id="1083061950">
      <w:bodyDiv w:val="1"/>
      <w:marLeft w:val="0"/>
      <w:marRight w:val="0"/>
      <w:marTop w:val="0"/>
      <w:marBottom w:val="0"/>
      <w:divBdr>
        <w:top w:val="none" w:sz="0" w:space="0" w:color="auto"/>
        <w:left w:val="none" w:sz="0" w:space="0" w:color="auto"/>
        <w:bottom w:val="none" w:sz="0" w:space="0" w:color="auto"/>
        <w:right w:val="none" w:sz="0" w:space="0" w:color="auto"/>
      </w:divBdr>
    </w:div>
    <w:div w:id="1541014031">
      <w:bodyDiv w:val="1"/>
      <w:marLeft w:val="0"/>
      <w:marRight w:val="0"/>
      <w:marTop w:val="0"/>
      <w:marBottom w:val="0"/>
      <w:divBdr>
        <w:top w:val="none" w:sz="0" w:space="0" w:color="auto"/>
        <w:left w:val="none" w:sz="0" w:space="0" w:color="auto"/>
        <w:bottom w:val="none" w:sz="0" w:space="0" w:color="auto"/>
        <w:right w:val="none" w:sz="0" w:space="0" w:color="auto"/>
      </w:divBdr>
    </w:div>
    <w:div w:id="16232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XM_E MARIANA SERNA RAMIREZ</dc:creator>
  <cp:keywords/>
  <dc:description/>
  <cp:lastModifiedBy>SILVIA MARCELA CHAPARRO RUEDA</cp:lastModifiedBy>
  <cp:revision>4</cp:revision>
  <dcterms:created xsi:type="dcterms:W3CDTF">2024-02-19T13:23:00Z</dcterms:created>
  <dcterms:modified xsi:type="dcterms:W3CDTF">2024-02-23T16:37:00Z</dcterms:modified>
</cp:coreProperties>
</file>